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_GBK" w:hAnsi="仿宋" w:eastAsia="方正小标宋_GBK"/>
          <w:sz w:val="36"/>
          <w:szCs w:val="36"/>
          <w:highlight w:val="none"/>
        </w:rPr>
      </w:pPr>
      <w:r>
        <w:rPr>
          <w:rFonts w:hint="eastAsia" w:ascii="方正小标宋_GBK" w:hAnsi="仿宋" w:eastAsia="方正小标宋_GBK"/>
          <w:sz w:val="36"/>
          <w:szCs w:val="36"/>
          <w:highlight w:val="none"/>
        </w:rPr>
        <w:t>第十五届全国运动会射击项目竞赛规程</w:t>
      </w:r>
    </w:p>
    <w:p>
      <w:pPr>
        <w:spacing w:line="580" w:lineRule="exact"/>
        <w:ind w:firstLine="640" w:firstLineChars="200"/>
        <w:rPr>
          <w:rFonts w:hint="eastAsia" w:ascii="黑体" w:hAnsi="黑体" w:eastAsia="黑体"/>
          <w:sz w:val="32"/>
          <w:szCs w:val="32"/>
          <w:highlight w:val="none"/>
        </w:rPr>
      </w:pP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一、竞赛项目</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（一）男子</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1.50米步枪3种姿势</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2.10米气步枪</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3.25米手枪速射</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4.10米气手枪</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5.飞碟多向</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6.飞碟双向</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7.10米气步枪团体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8.10米气手枪团体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9.25米手枪速射团体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（二）女子</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1.50米步枪3种姿势</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2.10米气步枪</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3.25米手枪</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4.10米气手枪</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5.飞碟多向</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6.飞碟双向</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7.10米气步枪团体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8.10米气手枪团体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（三）混合</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1.10米气步枪混合团体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2.10米气手枪混合团体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3.50米步枪3种姿势混合团体</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4.飞碟双向混合团体</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二、运动员资格</w:t>
      </w:r>
    </w:p>
    <w:p>
      <w:pPr>
        <w:spacing w:line="560" w:lineRule="exact"/>
        <w:ind w:firstLine="640" w:firstLineChars="200"/>
        <w:rPr>
          <w:rFonts w:ascii="仿宋" w:hAnsi="仿宋" w:eastAsia="仿宋" w:cs="仿宋"/>
          <w:sz w:val="32"/>
          <w:szCs w:val="32"/>
          <w:highlight w:val="none"/>
          <w:lang w:val="en"/>
        </w:rPr>
      </w:pPr>
      <w:r>
        <w:rPr>
          <w:rFonts w:hint="eastAsia" w:ascii="仿宋" w:hAnsi="仿宋" w:eastAsia="仿宋"/>
          <w:sz w:val="32"/>
          <w:szCs w:val="32"/>
          <w:highlight w:val="none"/>
        </w:rPr>
        <w:t>（一）</w:t>
      </w:r>
      <w:r>
        <w:rPr>
          <w:rFonts w:hint="eastAsia" w:ascii="仿宋" w:hAnsi="仿宋" w:eastAsia="仿宋" w:cs="仿宋"/>
          <w:sz w:val="32"/>
          <w:szCs w:val="32"/>
          <w:highlight w:val="none"/>
        </w:rPr>
        <w:t>符合《中华人民共和国第十五届运动会竞赛规程总则》（体竞字〔2023〕1号）第四条规定</w:t>
      </w:r>
      <w:r>
        <w:rPr>
          <w:rFonts w:ascii="仿宋" w:hAnsi="仿宋" w:eastAsia="仿宋" w:cs="仿宋"/>
          <w:sz w:val="32"/>
          <w:szCs w:val="32"/>
          <w:highlight w:val="none"/>
          <w:lang w:val="en"/>
        </w:rPr>
        <w:t>。</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（二）符合《第十五届全国运动会射击项目达席位办法》，具体规定另行公布。</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（三）体能测试</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各参赛队在席位赛前对运动员进行体能测试，测试项目为腹肌耐力、背肌耐力、单腿闭眼站立、3000米跑（或2000米测功仪）共4项。测试时要严格执行体能达标项目测试方法及要求，并根据体能达标项目指标及评分标准记录成绩，于赛前将单位负责人签字并加盖单位公章的体能测试成绩单发送至国家体育总局射击射箭运动管理中心射击部邮箱（shejibushooting@sina.com）。体能自测成绩达到24分及以上方可参赛。体能测试方案详见附件。</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席位赛报到后，将对运动员进行抽测。测试项目为腹肌耐力、背肌耐力2项。测试时严格按照体能达标项目测试方法及要求进行，并根据体能达标项目指标及评分标准记录成绩，体能测试成绩未达到12分的运动员将不得参赛。</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三、参加办法</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（一）执行</w:t>
      </w:r>
      <w:r>
        <w:rPr>
          <w:rFonts w:hint="eastAsia" w:ascii="仿宋" w:hAnsi="仿宋" w:eastAsia="仿宋" w:cs="仿宋"/>
          <w:sz w:val="32"/>
          <w:szCs w:val="32"/>
          <w:highlight w:val="none"/>
        </w:rPr>
        <w:t>《中华人民共和国第十五届运动会竞赛规程总则》（体竞字〔2023〕1号）</w:t>
      </w:r>
      <w:r>
        <w:rPr>
          <w:rFonts w:hint="eastAsia" w:ascii="仿宋" w:hAnsi="仿宋" w:eastAsia="仿宋"/>
          <w:sz w:val="32"/>
          <w:szCs w:val="32"/>
          <w:highlight w:val="none"/>
        </w:rPr>
        <w:t>。</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（二）席位赛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1.第十五届全国运动会射击项目参赛资格通过席位赛和机动席位分配(含奖励席位、鼓励席位等）的方式取得，1个席位代表1个决赛参赛名额。在席位赛中，每名运动员仅可获得1个席位。</w:t>
      </w:r>
    </w:p>
    <w:p>
      <w:pPr>
        <w:spacing w:line="580" w:lineRule="exact"/>
        <w:ind w:firstLine="640" w:firstLineChars="200"/>
        <w:rPr>
          <w:rFonts w:ascii="仿宋" w:hAnsi="仿宋" w:eastAsia="仿宋"/>
          <w:sz w:val="30"/>
          <w:szCs w:val="30"/>
          <w:highlight w:val="none"/>
        </w:rPr>
      </w:pPr>
      <w:r>
        <w:rPr>
          <w:rFonts w:hint="eastAsia" w:ascii="仿宋" w:hAnsi="仿宋" w:eastAsia="仿宋"/>
          <w:sz w:val="32"/>
          <w:szCs w:val="32"/>
          <w:highlight w:val="none"/>
        </w:rPr>
        <w:t>2.获得巴黎奥运会席位或者在巴黎奥运会上获得奖牌的运动员，</w:t>
      </w:r>
      <w:r>
        <w:rPr>
          <w:rFonts w:hint="eastAsia" w:ascii="仿宋" w:hAnsi="仿宋" w:eastAsia="仿宋"/>
          <w:sz w:val="30"/>
          <w:szCs w:val="30"/>
          <w:highlight w:val="none"/>
        </w:rPr>
        <w:t>可</w:t>
      </w:r>
      <w:r>
        <w:rPr>
          <w:rFonts w:ascii="仿宋" w:hAnsi="仿宋" w:eastAsia="仿宋"/>
          <w:sz w:val="30"/>
          <w:szCs w:val="30"/>
          <w:highlight w:val="none"/>
        </w:rPr>
        <w:t>为</w:t>
      </w:r>
      <w:r>
        <w:rPr>
          <w:rFonts w:hint="eastAsia" w:ascii="仿宋" w:hAnsi="仿宋" w:eastAsia="仿宋"/>
          <w:sz w:val="30"/>
          <w:szCs w:val="30"/>
          <w:highlight w:val="none"/>
        </w:rPr>
        <w:t>其代表单位获得1个全运会参赛席位</w:t>
      </w:r>
      <w:r>
        <w:rPr>
          <w:rFonts w:hint="eastAsia" w:ascii="仿宋" w:hAnsi="仿宋" w:eastAsia="仿宋"/>
          <w:sz w:val="32"/>
          <w:szCs w:val="32"/>
          <w:highlight w:val="none"/>
        </w:rPr>
        <w:t>（席位项目为其获得奥运会席位或者奥运会奖牌的小项）。</w:t>
      </w:r>
      <w:r>
        <w:rPr>
          <w:rFonts w:hint="eastAsia" w:ascii="仿宋" w:hAnsi="仿宋" w:eastAsia="仿宋"/>
          <w:sz w:val="30"/>
          <w:szCs w:val="30"/>
          <w:highlight w:val="none"/>
        </w:rPr>
        <w:t>凡运动员为代表单位获得1个奖励席位，都视为该运动员已经获得1个全运会参赛席位。该运动员参加个人项目席位赛则不再获得席位，但可代表单位参加团体项目席位赛。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3.2024年-2025年均参加全国射击比赛（全国射击冠军赛、全国射击锦标赛和全国青少年锦标赛均参加），但在步枪、手枪、飞碟某一分项男子或女子项目席位赛中未获得席位的单位，可给予鼓励席位 1 个。鼓励席位的项目由国家体育总局射击射箭运动管理中心确定。</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（三）决赛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1.获得个人项目席位的，可参加决赛阶段个人、团体和混合团体项目所有小项比赛。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2.获得团体项目席位的，可参加决赛阶段团体项目、混合团体和个人项目比赛；某一项目个人项目获得3个决赛阶段参赛资格（含兼项）的单位，也可组队参加该项目团体项目比赛。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3.混合团体项目不单独设置席位，男女个人项目均获得参赛资格（含兼项）的单位，可组队参加相应的混合团体项目比赛。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4.香港、澳门特别行政区代表队可直接进入决赛，不占席位配额。</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（四）小项参赛席位（人数、队数）限制</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1.同一混团项目，每单位每小项参赛运动员最多为2队（每队1男1女）。</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2.个人项目每单位每小项最多获得4个席位，如有运动员兼项参赛，每单位每小项参赛人数最多不超过5人（含5人)；香港、澳门特别行政区代表队个人项目每小项不超过3人（含3人）。</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3.团体项目由3人组成，参加团体项目的运动员须在报名表中注明。</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（五）最低成绩标准</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只有达到最低成绩标准的运动员才有资格参加第十五届全国运动会该项目的决赛，兼项运动员须达到所兼项目的最低成绩标准。男、女团体项目和混合团体项目参赛运动员在本全运会周期内须达到相应个人项目最低成绩标准，个人项目最低成绩标准为：</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3"/>
        <w:gridCol w:w="1510"/>
        <w:gridCol w:w="2963"/>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男子</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最低成绩标准</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女子</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最低成绩标准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50米步枪3种姿势（3×20）</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572环</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50米步枪3种姿势（3×20）</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572环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10米气步枪（60发）</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612.0环</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10米气步枪（60发）</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612.5环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25米手枪速射（60发）</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572环</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25米手枪（60发）</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570环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10米气手枪（60发）</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567环</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10米气手枪（60发）</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565环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飞碟多向（125靶）</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111中</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飞碟多向（125靶）</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110中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飞碟双向（125靶）</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110中</w:t>
            </w:r>
          </w:p>
        </w:tc>
        <w:tc>
          <w:tcPr>
            <w:tcW w:w="1656"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飞碟双向（125靶）</w:t>
            </w:r>
          </w:p>
        </w:tc>
        <w:tc>
          <w:tcPr>
            <w:tcW w:w="844" w:type="pct"/>
            <w:vAlign w:val="center"/>
          </w:tcPr>
          <w:p>
            <w:pPr>
              <w:jc w:val="center"/>
              <w:rPr>
                <w:rFonts w:ascii="仿宋" w:hAnsi="仿宋" w:eastAsia="仿宋"/>
                <w:b/>
                <w:bCs/>
                <w:kern w:val="0"/>
                <w:sz w:val="20"/>
                <w:szCs w:val="21"/>
                <w:highlight w:val="none"/>
              </w:rPr>
            </w:pPr>
            <w:r>
              <w:rPr>
                <w:rFonts w:hint="eastAsia" w:ascii="仿宋" w:hAnsi="仿宋" w:eastAsia="仿宋"/>
                <w:b/>
                <w:bCs/>
                <w:kern w:val="0"/>
                <w:sz w:val="20"/>
                <w:szCs w:val="21"/>
                <w:highlight w:val="none"/>
              </w:rPr>
              <w:t>110中</w:t>
            </w:r>
          </w:p>
        </w:tc>
      </w:tr>
    </w:tbl>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（六）兼项</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运动员可以兼项，但步枪、手枪、飞碟项目之间不得互兼。</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1.混合团体项目运动员必须为兼项运动员；</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2.步手枪项目获得第十五届全国运动会决赛阶段气枪或口径项目某一小项席位的运动员，须达到所兼口径或气枪项目的最低成绩标准，方可参加决赛阶段兼项项目的比赛。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3.运动员所兼项目与比赛时间发生冲突时，由参赛单位自行调整。</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（七）官员</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执行《体育总局办公厅关于印发第十五届全国运动会竞赛规程总则的通知》（体竞字〔2023〕1号）第（三）条第（三）项规定。</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四、竞赛办法</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（一）席位赛按照第十五届全国运动会射击项目达席位办法、席位赛规程和补充通知等执行。</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（二）决赛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1.竞赛规则采用中国射击协会审定的最新《射击竞赛规则》和国际射联修订的补充条款。</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2.非奥运项目（团体项目和50米步枪3种姿势混团项目）比赛形式</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男女10米气步枪、男女10米气手枪、男子25米手枪速射团体项目包括资格赛和决赛2个阶段，团体项目资格赛和个人项目资格赛同时进行（每人射击60发）。团体项目成绩为指定参加团体赛的3名运动员个人项目成绩之和。不足3人的代表队不计团体成绩，只计个人成绩。资格赛除上述比赛形式外，按照国际射联相应项目个人项目规则执行。资格赛前</w:t>
      </w:r>
      <w:r>
        <w:rPr>
          <w:rFonts w:hint="eastAsia" w:ascii="仿宋" w:hAnsi="仿宋" w:eastAsia="仿宋"/>
          <w:sz w:val="32"/>
          <w:szCs w:val="32"/>
          <w:highlight w:val="none"/>
          <w:lang w:val="en-US" w:eastAsia="zh-CN"/>
        </w:rPr>
        <w:t>4名</w:t>
      </w:r>
      <w:r>
        <w:rPr>
          <w:rFonts w:hint="eastAsia" w:ascii="仿宋" w:hAnsi="仿宋" w:eastAsia="仿宋"/>
          <w:sz w:val="32"/>
          <w:szCs w:val="32"/>
          <w:highlight w:val="none"/>
        </w:rPr>
        <w:t>的队伍晋级至决赛。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50米步枪3种姿势混团项目包括淘汰赛、资格赛和决赛3个阶段，淘汰赛和资格赛分别与男女50米步枪3种姿势个人项目的淘汰赛和资格赛同时进行。本项目成绩为指定参加本混合团体项目的1男、1女2名运动员相应阶段成绩之和。不足1男、1女的代表队不计混合团体成绩，只计个人成绩。</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淘汰赛每名队员分别采用跪姿、卧姿和立姿各射击20发，</w:t>
      </w:r>
      <w:r>
        <w:rPr>
          <w:rFonts w:hint="eastAsia" w:ascii="仿宋" w:hAnsi="仿宋" w:eastAsia="仿宋"/>
          <w:sz w:val="32"/>
          <w:szCs w:val="32"/>
          <w:highlight w:val="none"/>
          <w:lang w:eastAsia="zh-CN"/>
        </w:rPr>
        <w:t>前</w:t>
      </w:r>
      <w:r>
        <w:rPr>
          <w:rFonts w:hint="eastAsia" w:ascii="仿宋" w:hAnsi="仿宋" w:eastAsia="仿宋"/>
          <w:sz w:val="32"/>
          <w:szCs w:val="32"/>
          <w:highlight w:val="none"/>
          <w:lang w:val="en-US" w:eastAsia="zh-CN"/>
        </w:rPr>
        <w:t>8名</w:t>
      </w:r>
      <w:r>
        <w:rPr>
          <w:rFonts w:hint="eastAsia" w:ascii="仿宋" w:hAnsi="仿宋" w:eastAsia="仿宋"/>
          <w:sz w:val="32"/>
          <w:szCs w:val="32"/>
          <w:highlight w:val="none"/>
        </w:rPr>
        <w:t>的队伍将晋级至资格赛；资格赛每名队员分别采用跪姿、卧姿和立姿各射击20发，</w:t>
      </w:r>
      <w:r>
        <w:rPr>
          <w:rFonts w:hint="eastAsia" w:ascii="仿宋" w:hAnsi="仿宋" w:eastAsia="仿宋"/>
          <w:sz w:val="32"/>
          <w:szCs w:val="32"/>
          <w:highlight w:val="none"/>
          <w:lang w:eastAsia="zh-CN"/>
        </w:rPr>
        <w:t>前</w:t>
      </w:r>
      <w:r>
        <w:rPr>
          <w:rFonts w:hint="eastAsia" w:ascii="仿宋" w:hAnsi="仿宋" w:eastAsia="仿宋"/>
          <w:sz w:val="32"/>
          <w:szCs w:val="32"/>
          <w:highlight w:val="none"/>
          <w:lang w:val="en-US" w:eastAsia="zh-CN"/>
        </w:rPr>
        <w:t>4名</w:t>
      </w:r>
      <w:bookmarkStart w:id="0" w:name="_GoBack"/>
      <w:bookmarkEnd w:id="0"/>
      <w:r>
        <w:rPr>
          <w:rFonts w:hint="eastAsia" w:ascii="仿宋" w:hAnsi="仿宋" w:eastAsia="仿宋"/>
          <w:sz w:val="32"/>
          <w:szCs w:val="32"/>
          <w:highlight w:val="none"/>
        </w:rPr>
        <w:t>的队伍晋级至决赛（如无淘汰赛，直接进行资格赛，前</w:t>
      </w:r>
      <w:r>
        <w:rPr>
          <w:rFonts w:ascii="仿宋" w:hAnsi="仿宋" w:eastAsia="仿宋"/>
          <w:sz w:val="32"/>
          <w:szCs w:val="32"/>
          <w:highlight w:val="none"/>
        </w:rPr>
        <w:t>4</w:t>
      </w:r>
      <w:r>
        <w:rPr>
          <w:rFonts w:hint="eastAsia" w:ascii="仿宋" w:hAnsi="仿宋" w:eastAsia="仿宋"/>
          <w:sz w:val="32"/>
          <w:szCs w:val="32"/>
          <w:highlight w:val="none"/>
        </w:rPr>
        <w:t>名的队伍晋级至决赛），淘汰赛和资格赛除上述比赛形式外，按照国际射联50米步枪3种姿势个人项目规则执行</w:t>
      </w:r>
      <w:r>
        <w:rPr>
          <w:rFonts w:hint="eastAsia" w:ascii="仿宋" w:hAnsi="仿宋" w:eastAsia="仿宋"/>
          <w:sz w:val="32"/>
          <w:szCs w:val="32"/>
          <w:highlight w:val="none"/>
          <w:lang w:eastAsia="zh-CN"/>
        </w:rPr>
        <w:t>。</w:t>
      </w:r>
      <w:r>
        <w:rPr>
          <w:rFonts w:hint="eastAsia" w:ascii="仿宋" w:hAnsi="仿宋" w:eastAsia="仿宋"/>
          <w:sz w:val="32"/>
          <w:szCs w:val="32"/>
          <w:highlight w:val="none"/>
        </w:rPr>
        <w:t xml:space="preserve"> </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（3）决赛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资格赛排名第</w:t>
      </w:r>
      <w:r>
        <w:rPr>
          <w:rFonts w:ascii="仿宋" w:hAnsi="仿宋" w:eastAsia="仿宋"/>
          <w:sz w:val="32"/>
          <w:szCs w:val="32"/>
          <w:highlight w:val="none"/>
        </w:rPr>
        <w:t>1</w:t>
      </w:r>
      <w:r>
        <w:rPr>
          <w:rFonts w:hint="eastAsia" w:ascii="仿宋" w:hAnsi="仿宋" w:eastAsia="仿宋"/>
          <w:sz w:val="32"/>
          <w:szCs w:val="32"/>
          <w:highlight w:val="none"/>
        </w:rPr>
        <w:t>位和第</w:t>
      </w:r>
      <w:r>
        <w:rPr>
          <w:rFonts w:ascii="仿宋" w:hAnsi="仿宋" w:eastAsia="仿宋"/>
          <w:sz w:val="32"/>
          <w:szCs w:val="32"/>
          <w:highlight w:val="none"/>
        </w:rPr>
        <w:t>2</w:t>
      </w:r>
      <w:r>
        <w:rPr>
          <w:rFonts w:hint="eastAsia" w:ascii="仿宋" w:hAnsi="仿宋" w:eastAsia="仿宋"/>
          <w:sz w:val="32"/>
          <w:szCs w:val="32"/>
          <w:highlight w:val="none"/>
        </w:rPr>
        <w:t>位的队伍参加金牌赛，排名第</w:t>
      </w:r>
      <w:r>
        <w:rPr>
          <w:rFonts w:ascii="仿宋" w:hAnsi="仿宋" w:eastAsia="仿宋"/>
          <w:sz w:val="32"/>
          <w:szCs w:val="32"/>
          <w:highlight w:val="none"/>
        </w:rPr>
        <w:t>3</w:t>
      </w:r>
      <w:r>
        <w:rPr>
          <w:rFonts w:hint="eastAsia" w:ascii="仿宋" w:hAnsi="仿宋" w:eastAsia="仿宋"/>
          <w:sz w:val="32"/>
          <w:szCs w:val="32"/>
          <w:highlight w:val="none"/>
        </w:rPr>
        <w:t>位和第</w:t>
      </w:r>
      <w:r>
        <w:rPr>
          <w:rFonts w:ascii="仿宋" w:hAnsi="仿宋" w:eastAsia="仿宋"/>
          <w:sz w:val="32"/>
          <w:szCs w:val="32"/>
          <w:highlight w:val="none"/>
        </w:rPr>
        <w:t>4</w:t>
      </w:r>
      <w:r>
        <w:rPr>
          <w:rFonts w:hint="eastAsia" w:ascii="仿宋" w:hAnsi="仿宋" w:eastAsia="仿宋"/>
          <w:sz w:val="32"/>
          <w:szCs w:val="32"/>
          <w:highlight w:val="none"/>
        </w:rPr>
        <w:t>位的队伍参加铜牌赛。按照中国射击协会发布的《10米气步枪团体规则》、《10米气手枪团体规则》、《25米手枪速射团体规则》和《50米步枪3种姿势混合团体规则》中决赛阶段规则执行。</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3.所有项目均进行决赛。</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4.各项目名次不得并列，如有成绩相同，均按中国射击协会审定的最新《射击竞赛规则》和国际射联修订的补充条款评定。</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5.比赛中运动员记分射脱靶，应立即向裁判员报告，不报告者，一经发现将取消该运动员该项比赛资格。决赛阶段发生此情况，同时取消该代表队“体育道德风尚奖”评选资格。</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6.比赛使用中国射击协会审定的竞赛器材。</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7.步手枪比赛使用电子靶，飞碟碟靶按《射击项目竞赛管理办法》执行，碟靶颜色及生产厂家赛前由承办单位按中国射击协会的要求另行通知。</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8.决赛阶段比赛承办单位要为各参赛队提供赛前练习时间，资格赛靶场至少于赛前３天对各参赛队开放训练。</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五、录取和奖励</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（一）席位赛按照达席位办法录取，确定各单位席位获得数。</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1.席位数</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团体项目：男子10米气步枪团体、女子10米气步枪团体、男子10米气手枪团体、女子10米气手枪团体、男子25米手枪速射团体每小项10个席位。</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个人项目：男子10米气步枪、女子10米气步枪、女子10米气手枪、男子25米手枪速射每小项15 个；男子10米气手枪20个；男子50米步枪3种姿势、女子50米步枪3种姿势、女子25米手枪、男子飞碟多向、男子飞碟双向每小项32个；女子飞碟多向、女子飞碟双向每小项40个。</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2.如果</w:t>
      </w:r>
      <w:r>
        <w:rPr>
          <w:rFonts w:ascii="仿宋" w:hAnsi="仿宋" w:eastAsia="仿宋"/>
          <w:sz w:val="32"/>
          <w:szCs w:val="32"/>
          <w:highlight w:val="none"/>
        </w:rPr>
        <w:t>1</w:t>
      </w:r>
      <w:r>
        <w:rPr>
          <w:rFonts w:hint="eastAsia" w:ascii="仿宋" w:hAnsi="仿宋" w:eastAsia="仿宋"/>
          <w:sz w:val="32"/>
          <w:szCs w:val="32"/>
          <w:highlight w:val="none"/>
        </w:rPr>
        <w:t>名已获得了席位的运动员又在该项目或其他的项目中成绩达到了获得席位的标准，则将由下一个名次的运动员依次递补获得席位。</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（二）奖励办法执行《中华人民共和国第十五届运动会竞赛规程总则》（体竞字〔2023〕1号）第六条规定。</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六、报名和报到</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执行《中华人民共和国第十五届运动会竞赛规程总则》（体竞字〔2023〕1号）第三条第（二）、（四）项规定。</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七、技术官员</w:t>
      </w:r>
    </w:p>
    <w:p>
      <w:pPr>
        <w:spacing w:line="56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执行《中华人民共和国第十五届运动会竞赛规程总则》（体竞字〔2023〕1号）第九条规定。</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八、竞赛器材</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（一）枪支、子弹自备。</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（二）枪支、子弹运输、携运必须严格遵守《中华人民共和国枪支管理法》和公安、交通部门的有关规定。</w:t>
      </w:r>
    </w:p>
    <w:p>
      <w:pPr>
        <w:spacing w:line="58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九、技术申诉</w:t>
      </w:r>
    </w:p>
    <w:p>
      <w:pPr>
        <w:spacing w:line="58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rPr>
        <w:t>对比赛环值、装备检查结果等有异议，代表队有权按照规则规程提出抗议，裁判组应按规则流程受理，并做出裁决。对裁决结果不服，在规则规定的时间内，可以提出申诉；申诉按规则流程受理，并做出最终裁决。</w:t>
      </w:r>
    </w:p>
    <w:p>
      <w:pPr>
        <w:spacing w:line="580" w:lineRule="exact"/>
        <w:ind w:firstLine="640" w:firstLineChars="200"/>
        <w:rPr>
          <w:rFonts w:ascii="仿宋" w:hAnsi="仿宋" w:eastAsia="仿宋"/>
          <w:sz w:val="32"/>
          <w:szCs w:val="32"/>
          <w:highlight w:val="none"/>
        </w:rPr>
      </w:pPr>
    </w:p>
    <w:p>
      <w:pPr>
        <w:spacing w:line="580" w:lineRule="exact"/>
        <w:ind w:firstLine="640" w:firstLineChars="200"/>
        <w:rPr>
          <w:rFonts w:ascii="仿宋" w:hAnsi="仿宋" w:eastAsia="仿宋"/>
          <w:sz w:val="32"/>
          <w:szCs w:val="32"/>
          <w:highlight w:val="none"/>
        </w:rPr>
        <w:sectPr>
          <w:footerReference r:id="rId3" w:type="default"/>
          <w:footerReference r:id="rId4" w:type="even"/>
          <w:pgSz w:w="11906" w:h="16838"/>
          <w:pgMar w:top="1701" w:right="1588" w:bottom="1985" w:left="1588" w:header="851" w:footer="1588" w:gutter="0"/>
          <w:cols w:space="425" w:num="1"/>
          <w:docGrid w:type="lines" w:linePitch="312" w:charSpace="0"/>
        </w:sectPr>
      </w:pPr>
      <w:r>
        <w:rPr>
          <w:rFonts w:hint="eastAsia" w:ascii="仿宋" w:hAnsi="仿宋" w:eastAsia="仿宋"/>
          <w:sz w:val="32"/>
          <w:szCs w:val="32"/>
          <w:highlight w:val="none"/>
        </w:rPr>
        <w:t>附件：第十五届全国运动会射击项目体能测试方案</w:t>
      </w:r>
    </w:p>
    <w:p>
      <w:pPr>
        <w:widowControl/>
        <w:snapToGrid w:val="0"/>
        <w:spacing w:line="360" w:lineRule="auto"/>
        <w:rPr>
          <w:rFonts w:ascii="黑体" w:hAnsi="黑体" w:eastAsia="黑体"/>
          <w:sz w:val="32"/>
          <w:szCs w:val="32"/>
          <w:highlight w:val="none"/>
        </w:rPr>
      </w:pPr>
      <w:r>
        <w:rPr>
          <w:rFonts w:hint="eastAsia" w:ascii="黑体" w:hAnsi="黑体" w:eastAsia="黑体"/>
          <w:sz w:val="32"/>
          <w:szCs w:val="32"/>
          <w:highlight w:val="none"/>
        </w:rPr>
        <w:t>附件</w:t>
      </w:r>
    </w:p>
    <w:p>
      <w:pPr>
        <w:widowControl/>
        <w:snapToGrid w:val="0"/>
        <w:spacing w:line="360" w:lineRule="auto"/>
        <w:rPr>
          <w:rFonts w:ascii="黑体" w:hAnsi="黑体" w:eastAsia="黑体"/>
          <w:sz w:val="32"/>
          <w:szCs w:val="32"/>
          <w:highlight w:val="none"/>
        </w:rPr>
      </w:pPr>
    </w:p>
    <w:p>
      <w:pPr>
        <w:widowControl/>
        <w:snapToGrid w:val="0"/>
        <w:spacing w:line="360" w:lineRule="auto"/>
        <w:ind w:firstLine="800"/>
        <w:jc w:val="center"/>
        <w:rPr>
          <w:rFonts w:ascii="方正小标宋_GBK" w:hAnsi="仿宋" w:eastAsia="方正小标宋_GBK"/>
          <w:sz w:val="36"/>
          <w:szCs w:val="36"/>
          <w:highlight w:val="none"/>
        </w:rPr>
      </w:pPr>
      <w:r>
        <w:rPr>
          <w:rFonts w:hint="eastAsia" w:ascii="方正小标宋_GBK" w:hAnsi="仿宋" w:eastAsia="方正小标宋_GBK"/>
          <w:sz w:val="36"/>
          <w:szCs w:val="36"/>
          <w:highlight w:val="none"/>
        </w:rPr>
        <w:t>第十五届全国运动会射击项目体能测试方案</w:t>
      </w:r>
    </w:p>
    <w:p>
      <w:pPr>
        <w:widowControl/>
        <w:snapToGrid w:val="0"/>
        <w:spacing w:line="360" w:lineRule="auto"/>
        <w:ind w:firstLine="636" w:firstLineChars="198"/>
        <w:rPr>
          <w:rFonts w:ascii="仿宋" w:hAnsi="仿宋" w:eastAsia="仿宋"/>
          <w:b/>
          <w:sz w:val="32"/>
          <w:szCs w:val="32"/>
          <w:highlight w:val="none"/>
        </w:rPr>
      </w:pPr>
    </w:p>
    <w:p>
      <w:pPr>
        <w:widowControl/>
        <w:snapToGrid w:val="0"/>
        <w:spacing w:line="360" w:lineRule="auto"/>
        <w:ind w:firstLine="633" w:firstLineChars="198"/>
        <w:rPr>
          <w:rFonts w:ascii="黑体" w:hAnsi="黑体" w:eastAsia="黑体"/>
          <w:sz w:val="32"/>
          <w:szCs w:val="32"/>
          <w:highlight w:val="none"/>
        </w:rPr>
      </w:pPr>
      <w:r>
        <w:rPr>
          <w:rFonts w:hint="eastAsia" w:ascii="黑体" w:hAnsi="黑体" w:eastAsia="黑体"/>
          <w:sz w:val="32"/>
          <w:szCs w:val="32"/>
          <w:highlight w:val="none"/>
        </w:rPr>
        <w:t>一、体能达标项目测试方法及要求</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(一) 腹肌耐力测试</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被测者仰卧在长凳或跳箱上，躯干悬空，髂后上棘置于长凳或跳箱边缘，双手交叉放在胸前，用皮带固定住小腿，或者由同伴帮助固定小腿，保持身体不低于水平面，可适当高于水平面，但不得超过30度（建议各单位选用水平角度尺进行测量，确保标准统一）。记录运动员保持身体位置的时间，如果身体低于水平面时，进行一次提醒，如果仍然无法达到要求，即测试停止，如果运动员维持时间达到120s时，可以停止测试，记为满分，计量单位为秒，按照“非零取整”的方式精确到整数。</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(二) 背肌耐力测试</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被测者俯卧在长凳或跳箱上，躯干悬空，髂前上棘置于长凳或跳箱边缘，双手交叉放在胸前，用皮带固定住小腿，或者由同伴帮助固定小腿，保持身体在一个平面上（建议各单位选用水平角度尺进行测量，确保标准统一）。记录运动员保持身体位置的时间，如果身体不能保持在一个平面时，进行一次提醒，如果仍然无法达到要求，即测试停止，如果运动员维持时间达到120s时，可以停止测试，记为满分，计量单位为秒，按照“非零取整”的方式精确到整数。</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(三) 单腿闭眼站立测试</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该指标仅进行单侧测试，受试者选择优势腿进行单腿闭眼站立，两手叉腰置于体侧，一腿直立，另一腿屈膝抬起，脚踝紧贴支撑腿腘窝处，支撑脚不能产生位移。记录运动员保持身体平衡的时间，如果身体不能保持正确测试姿势，进行一次提醒。如仍无法保持正确测试姿势时，即测试停止。当运动员保持时间达到</w:t>
      </w:r>
      <w:r>
        <w:rPr>
          <w:rFonts w:ascii="仿宋" w:hAnsi="仿宋" w:eastAsia="仿宋"/>
          <w:sz w:val="32"/>
          <w:szCs w:val="32"/>
          <w:highlight w:val="none"/>
        </w:rPr>
        <w:t>5</w:t>
      </w:r>
      <w:r>
        <w:rPr>
          <w:rFonts w:hint="eastAsia" w:ascii="仿宋" w:hAnsi="仿宋" w:eastAsia="仿宋"/>
          <w:sz w:val="32"/>
          <w:szCs w:val="32"/>
          <w:highlight w:val="none"/>
        </w:rPr>
        <w:t>0s时，可以停止测试，记为满分。每名受试者有2次测试机会,计量单位为秒，按照“非零取整”的方式精确到整数。</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(四) 3000米计时跑测试</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被测者充分热身后，站立式起跑，用最快速度完成3000米距离，计量单位为秒，精确到小数点后2位。</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(五) 2000米测功仪测试</w:t>
      </w:r>
    </w:p>
    <w:p>
      <w:pPr>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被测者充分热身后，用测功仪以最快速度完成2000米距离，计量单位为秒，精确到小数点后2位。</w:t>
      </w:r>
    </w:p>
    <w:p>
      <w:pPr>
        <w:widowControl/>
        <w:snapToGrid w:val="0"/>
        <w:spacing w:line="360" w:lineRule="auto"/>
        <w:ind w:firstLine="633" w:firstLineChars="198"/>
        <w:rPr>
          <w:rFonts w:ascii="黑体" w:hAnsi="黑体" w:eastAsia="黑体"/>
          <w:sz w:val="32"/>
          <w:szCs w:val="32"/>
          <w:highlight w:val="none"/>
        </w:rPr>
      </w:pPr>
    </w:p>
    <w:p>
      <w:pPr>
        <w:widowControl/>
        <w:snapToGrid w:val="0"/>
        <w:spacing w:line="360" w:lineRule="auto"/>
        <w:ind w:firstLine="633" w:firstLineChars="198"/>
        <w:rPr>
          <w:rFonts w:ascii="黑体" w:hAnsi="黑体" w:eastAsia="黑体"/>
          <w:sz w:val="32"/>
          <w:szCs w:val="32"/>
          <w:highlight w:val="none"/>
        </w:rPr>
      </w:pPr>
    </w:p>
    <w:p>
      <w:pPr>
        <w:widowControl/>
        <w:snapToGrid w:val="0"/>
        <w:spacing w:line="360" w:lineRule="auto"/>
        <w:ind w:firstLine="633" w:firstLineChars="198"/>
        <w:rPr>
          <w:rFonts w:ascii="黑体" w:hAnsi="黑体" w:eastAsia="黑体"/>
          <w:sz w:val="32"/>
          <w:szCs w:val="32"/>
          <w:highlight w:val="none"/>
        </w:rPr>
      </w:pPr>
    </w:p>
    <w:p>
      <w:pPr>
        <w:widowControl/>
        <w:snapToGrid w:val="0"/>
        <w:spacing w:line="360" w:lineRule="auto"/>
        <w:ind w:firstLine="633" w:firstLineChars="198"/>
        <w:rPr>
          <w:rFonts w:ascii="黑体" w:hAnsi="黑体" w:eastAsia="黑体"/>
          <w:sz w:val="32"/>
          <w:szCs w:val="32"/>
          <w:highlight w:val="none"/>
        </w:rPr>
      </w:pPr>
    </w:p>
    <w:p>
      <w:pPr>
        <w:widowControl/>
        <w:snapToGrid w:val="0"/>
        <w:spacing w:line="360" w:lineRule="auto"/>
        <w:ind w:firstLine="633" w:firstLineChars="198"/>
        <w:rPr>
          <w:rFonts w:ascii="黑体" w:hAnsi="黑体" w:eastAsia="黑体"/>
          <w:sz w:val="32"/>
          <w:szCs w:val="32"/>
          <w:highlight w:val="none"/>
        </w:rPr>
      </w:pPr>
      <w:r>
        <w:rPr>
          <w:rFonts w:hint="eastAsia" w:ascii="黑体" w:hAnsi="黑体" w:eastAsia="黑体"/>
          <w:sz w:val="32"/>
          <w:szCs w:val="32"/>
          <w:highlight w:val="none"/>
        </w:rPr>
        <w:t>二、体能达标项目指标及评分标准</w:t>
      </w:r>
    </w:p>
    <w:tbl>
      <w:tblPr>
        <w:tblStyle w:val="5"/>
        <w:tblW w:w="4998" w:type="pct"/>
        <w:jc w:val="center"/>
        <w:tblLayout w:type="autofit"/>
        <w:tblCellMar>
          <w:top w:w="0" w:type="dxa"/>
          <w:left w:w="30" w:type="dxa"/>
          <w:bottom w:w="0" w:type="dxa"/>
          <w:right w:w="30" w:type="dxa"/>
        </w:tblCellMar>
      </w:tblPr>
      <w:tblGrid>
        <w:gridCol w:w="525"/>
        <w:gridCol w:w="990"/>
        <w:gridCol w:w="1104"/>
        <w:gridCol w:w="1073"/>
        <w:gridCol w:w="1329"/>
        <w:gridCol w:w="1333"/>
        <w:gridCol w:w="1099"/>
        <w:gridCol w:w="1333"/>
      </w:tblGrid>
      <w:tr>
        <w:tblPrEx>
          <w:tblCellMar>
            <w:top w:w="0" w:type="dxa"/>
            <w:left w:w="30" w:type="dxa"/>
            <w:bottom w:w="0" w:type="dxa"/>
            <w:right w:w="30" w:type="dxa"/>
          </w:tblCellMar>
        </w:tblPrEx>
        <w:trPr>
          <w:trHeight w:val="741" w:hRule="atLeast"/>
          <w:jc w:val="center"/>
        </w:trPr>
        <w:tc>
          <w:tcPr>
            <w:tcW w:w="299" w:type="pct"/>
            <w:vMerge w:val="restart"/>
            <w:tcBorders>
              <w:top w:val="single" w:color="auto" w:sz="6" w:space="0"/>
              <w:left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评分</w:t>
            </w:r>
          </w:p>
        </w:tc>
        <w:tc>
          <w:tcPr>
            <w:tcW w:w="563" w:type="pct"/>
            <w:vMerge w:val="restart"/>
            <w:tcBorders>
              <w:top w:val="single" w:color="auto" w:sz="6" w:space="0"/>
              <w:left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腹肌耐力</w:t>
            </w:r>
          </w:p>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w:t>
            </w:r>
            <w:r>
              <w:rPr>
                <w:rFonts w:ascii="仿宋" w:hAnsi="仿宋" w:eastAsia="仿宋" w:cs="宋体"/>
                <w:b/>
                <w:bCs/>
                <w:szCs w:val="21"/>
                <w:highlight w:val="none"/>
              </w:rPr>
              <w:t>s</w:t>
            </w:r>
            <w:r>
              <w:rPr>
                <w:rFonts w:hint="eastAsia" w:ascii="仿宋" w:hAnsi="仿宋" w:eastAsia="仿宋" w:cs="宋体"/>
                <w:b/>
                <w:bCs/>
                <w:szCs w:val="21"/>
                <w:highlight w:val="none"/>
              </w:rPr>
              <w:t>）</w:t>
            </w:r>
          </w:p>
        </w:tc>
        <w:tc>
          <w:tcPr>
            <w:tcW w:w="628" w:type="pct"/>
            <w:vMerge w:val="restart"/>
            <w:tcBorders>
              <w:top w:val="single" w:color="auto" w:sz="6" w:space="0"/>
              <w:left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背肌耐力</w:t>
            </w:r>
          </w:p>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w:t>
            </w:r>
            <w:r>
              <w:rPr>
                <w:rFonts w:ascii="仿宋" w:hAnsi="仿宋" w:eastAsia="仿宋" w:cs="宋体"/>
                <w:b/>
                <w:bCs/>
                <w:szCs w:val="21"/>
                <w:highlight w:val="none"/>
              </w:rPr>
              <w:t>s</w:t>
            </w:r>
            <w:r>
              <w:rPr>
                <w:rFonts w:hint="eastAsia" w:ascii="仿宋" w:hAnsi="仿宋" w:eastAsia="仿宋" w:cs="宋体"/>
                <w:b/>
                <w:bCs/>
                <w:szCs w:val="21"/>
                <w:highlight w:val="none"/>
              </w:rPr>
              <w:t>）</w:t>
            </w:r>
          </w:p>
        </w:tc>
        <w:tc>
          <w:tcPr>
            <w:tcW w:w="610" w:type="pct"/>
            <w:vMerge w:val="restart"/>
            <w:tcBorders>
              <w:top w:val="single" w:color="auto" w:sz="6" w:space="0"/>
              <w:left w:val="single" w:color="auto" w:sz="6" w:space="0"/>
              <w:right w:val="single" w:color="auto" w:sz="6" w:space="0"/>
            </w:tcBorders>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单腿闭眼</w:t>
            </w:r>
          </w:p>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站立</w:t>
            </w:r>
          </w:p>
          <w:p>
            <w:pPr>
              <w:autoSpaceDE w:val="0"/>
              <w:autoSpaceDN w:val="0"/>
              <w:adjustRightInd w:val="0"/>
              <w:snapToGrid w:val="0"/>
              <w:spacing w:line="360" w:lineRule="auto"/>
              <w:jc w:val="center"/>
              <w:rPr>
                <w:rFonts w:ascii="仿宋" w:hAnsi="仿宋" w:eastAsia="仿宋" w:cs="宋体"/>
                <w:b/>
                <w:bCs/>
                <w:szCs w:val="21"/>
                <w:highlight w:val="none"/>
                <w:shd w:val="pct10" w:color="auto" w:fill="FFFFFF"/>
              </w:rPr>
            </w:pPr>
            <w:r>
              <w:rPr>
                <w:rFonts w:hint="eastAsia" w:ascii="仿宋" w:hAnsi="仿宋" w:eastAsia="仿宋" w:cs="宋体"/>
                <w:b/>
                <w:bCs/>
                <w:szCs w:val="21"/>
                <w:highlight w:val="none"/>
              </w:rPr>
              <w:t>(s)</w:t>
            </w:r>
          </w:p>
        </w:tc>
        <w:tc>
          <w:tcPr>
            <w:tcW w:w="1514" w:type="pct"/>
            <w:gridSpan w:val="2"/>
            <w:tcBorders>
              <w:top w:val="single" w:color="auto" w:sz="6" w:space="0"/>
              <w:left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3000</w:t>
            </w:r>
            <w:r>
              <w:rPr>
                <w:rFonts w:hint="eastAsia" w:ascii="仿宋" w:hAnsi="仿宋" w:eastAsia="仿宋" w:cs="宋体"/>
                <w:b/>
                <w:bCs/>
                <w:szCs w:val="21"/>
                <w:highlight w:val="none"/>
              </w:rPr>
              <w:t>米计时跑</w:t>
            </w:r>
          </w:p>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w:t>
            </w:r>
            <w:r>
              <w:rPr>
                <w:rFonts w:ascii="仿宋" w:hAnsi="仿宋" w:eastAsia="仿宋" w:cs="宋体"/>
                <w:b/>
                <w:bCs/>
                <w:szCs w:val="21"/>
                <w:highlight w:val="none"/>
              </w:rPr>
              <w:t>min's</w:t>
            </w:r>
            <w:r>
              <w:rPr>
                <w:rFonts w:hint="eastAsia" w:ascii="仿宋" w:hAnsi="仿宋" w:eastAsia="仿宋" w:cs="宋体"/>
                <w:b/>
                <w:bCs/>
                <w:szCs w:val="21"/>
                <w:highlight w:val="none"/>
              </w:rPr>
              <w:t>）</w:t>
            </w:r>
          </w:p>
        </w:tc>
        <w:tc>
          <w:tcPr>
            <w:tcW w:w="1383" w:type="pct"/>
            <w:gridSpan w:val="2"/>
            <w:tcBorders>
              <w:top w:val="single" w:color="auto" w:sz="6" w:space="0"/>
              <w:left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2000</w:t>
            </w:r>
            <w:r>
              <w:rPr>
                <w:rFonts w:hint="eastAsia" w:ascii="仿宋" w:hAnsi="仿宋" w:eastAsia="仿宋" w:cs="宋体"/>
                <w:b/>
                <w:bCs/>
                <w:szCs w:val="21"/>
                <w:highlight w:val="none"/>
              </w:rPr>
              <w:t>米测功仪</w:t>
            </w:r>
          </w:p>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w:t>
            </w:r>
            <w:r>
              <w:rPr>
                <w:rFonts w:ascii="仿宋" w:hAnsi="仿宋" w:eastAsia="仿宋" w:cs="宋体"/>
                <w:b/>
                <w:bCs/>
                <w:szCs w:val="21"/>
                <w:highlight w:val="none"/>
              </w:rPr>
              <w:t>min's</w:t>
            </w:r>
            <w:r>
              <w:rPr>
                <w:rFonts w:hint="eastAsia" w:ascii="仿宋" w:hAnsi="仿宋" w:eastAsia="仿宋" w:cs="宋体"/>
                <w:b/>
                <w:bCs/>
                <w:szCs w:val="21"/>
                <w:highlight w:val="none"/>
              </w:rPr>
              <w:t>）</w:t>
            </w:r>
          </w:p>
        </w:tc>
      </w:tr>
      <w:tr>
        <w:tblPrEx>
          <w:tblCellMar>
            <w:top w:w="0" w:type="dxa"/>
            <w:left w:w="30" w:type="dxa"/>
            <w:bottom w:w="0" w:type="dxa"/>
            <w:right w:w="30" w:type="dxa"/>
          </w:tblCellMar>
        </w:tblPrEx>
        <w:trPr>
          <w:trHeight w:val="425" w:hRule="atLeast"/>
          <w:jc w:val="center"/>
        </w:trPr>
        <w:tc>
          <w:tcPr>
            <w:tcW w:w="299" w:type="pct"/>
            <w:vMerge w:val="continue"/>
            <w:tcBorders>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p>
        </w:tc>
        <w:tc>
          <w:tcPr>
            <w:tcW w:w="563" w:type="pct"/>
            <w:vMerge w:val="continue"/>
            <w:tcBorders>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shd w:val="pct10" w:color="auto" w:fill="FFFFFF"/>
              </w:rPr>
            </w:pPr>
          </w:p>
        </w:tc>
        <w:tc>
          <w:tcPr>
            <w:tcW w:w="628" w:type="pct"/>
            <w:vMerge w:val="continue"/>
            <w:tcBorders>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shd w:val="pct10" w:color="auto" w:fill="FFFFFF"/>
              </w:rPr>
            </w:pPr>
          </w:p>
        </w:tc>
        <w:tc>
          <w:tcPr>
            <w:tcW w:w="610" w:type="pct"/>
            <w:vMerge w:val="continue"/>
            <w:tcBorders>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仿宋" w:hAnsi="仿宋" w:eastAsia="仿宋" w:cs="宋体"/>
                <w:b/>
                <w:bCs/>
                <w:szCs w:val="21"/>
                <w:highlight w:val="none"/>
                <w:shd w:val="pct10" w:color="auto" w:fill="FFFFFF"/>
              </w:rPr>
            </w:pPr>
          </w:p>
        </w:tc>
        <w:tc>
          <w:tcPr>
            <w:tcW w:w="756"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男</w:t>
            </w:r>
          </w:p>
        </w:tc>
        <w:tc>
          <w:tcPr>
            <w:tcW w:w="757"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女</w:t>
            </w:r>
          </w:p>
        </w:tc>
        <w:tc>
          <w:tcPr>
            <w:tcW w:w="625"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男</w:t>
            </w:r>
          </w:p>
        </w:tc>
        <w:tc>
          <w:tcPr>
            <w:tcW w:w="757"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女</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10</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w:t>
            </w:r>
            <w:r>
              <w:rPr>
                <w:rFonts w:ascii="仿宋" w:hAnsi="仿宋" w:eastAsia="仿宋" w:cs="宋体"/>
                <w:szCs w:val="21"/>
                <w:highlight w:val="none"/>
              </w:rPr>
              <w:t>120</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w:t>
            </w:r>
            <w:r>
              <w:rPr>
                <w:rFonts w:ascii="仿宋" w:hAnsi="仿宋" w:eastAsia="仿宋" w:cs="宋体"/>
                <w:szCs w:val="21"/>
                <w:highlight w:val="none"/>
              </w:rPr>
              <w:t>120</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≥50</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≤14:30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≤7:</w:t>
            </w:r>
            <w:r>
              <w:rPr>
                <w:rFonts w:hint="eastAsia" w:ascii="仿宋" w:hAnsi="仿宋" w:eastAsia="仿宋"/>
                <w:color w:val="000000"/>
                <w:szCs w:val="21"/>
                <w:highlight w:val="none"/>
              </w:rPr>
              <w:t>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w:t>
            </w:r>
            <w:r>
              <w:rPr>
                <w:rFonts w:hint="eastAsia" w:ascii="仿宋" w:hAnsi="仿宋" w:eastAsia="仿宋"/>
                <w:color w:val="000000"/>
                <w:szCs w:val="21"/>
                <w:highlight w:val="none"/>
              </w:rPr>
              <w:t>8:30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9</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115-119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115-119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45-49</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14:01-14:20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14:31-14:50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7:0</w:t>
            </w:r>
            <w:r>
              <w:rPr>
                <w:rFonts w:hint="eastAsia" w:ascii="仿宋" w:hAnsi="仿宋" w:eastAsia="仿宋"/>
                <w:color w:val="000000"/>
                <w:szCs w:val="21"/>
                <w:highlight w:val="none"/>
              </w:rPr>
              <w:t>1-7:30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8:31-9:00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8</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110-114</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110-114</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40-44</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14:21-14:40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14:51-15:10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7:</w:t>
            </w:r>
            <w:r>
              <w:rPr>
                <w:rFonts w:hint="eastAsia" w:ascii="仿宋" w:hAnsi="仿宋" w:eastAsia="仿宋"/>
                <w:color w:val="000000"/>
                <w:szCs w:val="21"/>
                <w:highlight w:val="none"/>
              </w:rPr>
              <w:t>31-7:45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9:01-9:10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7</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1</w:t>
            </w:r>
            <w:r>
              <w:rPr>
                <w:rFonts w:hint="eastAsia" w:ascii="仿宋" w:hAnsi="仿宋" w:eastAsia="仿宋" w:cs="宋体"/>
                <w:szCs w:val="21"/>
                <w:highlight w:val="none"/>
              </w:rPr>
              <w:t>05</w:t>
            </w:r>
            <w:r>
              <w:rPr>
                <w:rFonts w:ascii="仿宋" w:hAnsi="仿宋" w:eastAsia="仿宋" w:cs="宋体"/>
                <w:szCs w:val="21"/>
                <w:highlight w:val="none"/>
              </w:rPr>
              <w:t>-1</w:t>
            </w:r>
            <w:r>
              <w:rPr>
                <w:rFonts w:hint="eastAsia" w:ascii="仿宋" w:hAnsi="仿宋" w:eastAsia="仿宋" w:cs="宋体"/>
                <w:szCs w:val="21"/>
                <w:highlight w:val="none"/>
              </w:rPr>
              <w:t>09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1</w:t>
            </w:r>
            <w:r>
              <w:rPr>
                <w:rFonts w:hint="eastAsia" w:ascii="仿宋" w:hAnsi="仿宋" w:eastAsia="仿宋" w:cs="宋体"/>
                <w:szCs w:val="21"/>
                <w:highlight w:val="none"/>
              </w:rPr>
              <w:t>05</w:t>
            </w:r>
            <w:r>
              <w:rPr>
                <w:rFonts w:ascii="仿宋" w:hAnsi="仿宋" w:eastAsia="仿宋" w:cs="宋体"/>
                <w:szCs w:val="21"/>
                <w:highlight w:val="none"/>
              </w:rPr>
              <w:t>-1</w:t>
            </w:r>
            <w:r>
              <w:rPr>
                <w:rFonts w:hint="eastAsia" w:ascii="仿宋" w:hAnsi="仿宋" w:eastAsia="仿宋" w:cs="宋体"/>
                <w:szCs w:val="21"/>
                <w:highlight w:val="none"/>
              </w:rPr>
              <w:t>09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35-39</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14:41-15:00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15:11-15:30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7:</w:t>
            </w:r>
            <w:r>
              <w:rPr>
                <w:rFonts w:hint="eastAsia" w:ascii="仿宋" w:hAnsi="仿宋" w:eastAsia="仿宋"/>
                <w:color w:val="000000"/>
                <w:szCs w:val="21"/>
                <w:highlight w:val="none"/>
              </w:rPr>
              <w:t>46-8:00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9:11-9:20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6</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10</w:t>
            </w:r>
            <w:r>
              <w:rPr>
                <w:rFonts w:hint="eastAsia" w:ascii="仿宋" w:hAnsi="仿宋" w:eastAsia="仿宋" w:cs="宋体"/>
                <w:szCs w:val="21"/>
                <w:highlight w:val="none"/>
              </w:rPr>
              <w:t>0</w:t>
            </w:r>
            <w:r>
              <w:rPr>
                <w:rFonts w:ascii="仿宋" w:hAnsi="仿宋" w:eastAsia="仿宋" w:cs="宋体"/>
                <w:szCs w:val="21"/>
                <w:highlight w:val="none"/>
              </w:rPr>
              <w:t>-10</w:t>
            </w:r>
            <w:r>
              <w:rPr>
                <w:rFonts w:hint="eastAsia" w:ascii="仿宋" w:hAnsi="仿宋" w:eastAsia="仿宋" w:cs="宋体"/>
                <w:szCs w:val="21"/>
                <w:highlight w:val="none"/>
              </w:rPr>
              <w:t>4</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10</w:t>
            </w:r>
            <w:r>
              <w:rPr>
                <w:rFonts w:hint="eastAsia" w:ascii="仿宋" w:hAnsi="仿宋" w:eastAsia="仿宋" w:cs="宋体"/>
                <w:szCs w:val="21"/>
                <w:highlight w:val="none"/>
              </w:rPr>
              <w:t>0</w:t>
            </w:r>
            <w:r>
              <w:rPr>
                <w:rFonts w:ascii="仿宋" w:hAnsi="仿宋" w:eastAsia="仿宋" w:cs="宋体"/>
                <w:szCs w:val="21"/>
                <w:highlight w:val="none"/>
              </w:rPr>
              <w:t>-10</w:t>
            </w:r>
            <w:r>
              <w:rPr>
                <w:rFonts w:hint="eastAsia" w:ascii="仿宋" w:hAnsi="仿宋" w:eastAsia="仿宋" w:cs="宋体"/>
                <w:szCs w:val="21"/>
                <w:highlight w:val="none"/>
              </w:rPr>
              <w:t>4</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30-34</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15:01-15:20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15:31-15:50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8:01</w:t>
            </w:r>
            <w:r>
              <w:rPr>
                <w:rFonts w:hint="eastAsia" w:ascii="仿宋" w:hAnsi="仿宋" w:eastAsia="仿宋"/>
                <w:color w:val="000000"/>
                <w:szCs w:val="21"/>
                <w:highlight w:val="none"/>
              </w:rPr>
              <w:t>-8:10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9:21-9:30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5</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Cs/>
                <w:szCs w:val="21"/>
                <w:highlight w:val="none"/>
              </w:rPr>
            </w:pPr>
            <w:r>
              <w:rPr>
                <w:rFonts w:hint="eastAsia" w:ascii="仿宋" w:hAnsi="仿宋" w:eastAsia="仿宋" w:cs="宋体"/>
                <w:bCs/>
                <w:szCs w:val="21"/>
                <w:highlight w:val="none"/>
              </w:rPr>
              <w:t>90-99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Cs/>
                <w:szCs w:val="21"/>
                <w:highlight w:val="none"/>
              </w:rPr>
            </w:pPr>
            <w:r>
              <w:rPr>
                <w:rFonts w:hint="eastAsia" w:ascii="仿宋" w:hAnsi="仿宋" w:eastAsia="仿宋" w:cs="宋体"/>
                <w:bCs/>
                <w:szCs w:val="21"/>
                <w:highlight w:val="none"/>
              </w:rPr>
              <w:t>90-99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25-29</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15:21-15:40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15:51-16:10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w:t>
            </w:r>
            <w:r>
              <w:rPr>
                <w:rFonts w:hint="eastAsia" w:ascii="仿宋" w:hAnsi="仿宋" w:eastAsia="仿宋"/>
                <w:color w:val="000000"/>
                <w:szCs w:val="21"/>
                <w:highlight w:val="none"/>
              </w:rPr>
              <w:t>11-8:15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9:3</w:t>
            </w:r>
            <w:r>
              <w:rPr>
                <w:rFonts w:hint="eastAsia" w:ascii="仿宋" w:hAnsi="仿宋" w:eastAsia="仿宋"/>
                <w:color w:val="000000"/>
                <w:szCs w:val="21"/>
                <w:highlight w:val="none"/>
              </w:rPr>
              <w:t>1-9:40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4</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80-89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80-89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20-24</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15:41-16:00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16:11-16:30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8:16</w:t>
            </w:r>
            <w:r>
              <w:rPr>
                <w:rFonts w:hint="eastAsia" w:ascii="仿宋" w:hAnsi="仿宋" w:eastAsia="仿宋"/>
                <w:color w:val="000000"/>
                <w:szCs w:val="21"/>
                <w:highlight w:val="none"/>
              </w:rPr>
              <w:t>-8:25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color w:val="000000"/>
                <w:szCs w:val="21"/>
                <w:highlight w:val="none"/>
              </w:rPr>
            </w:pPr>
            <w:r>
              <w:rPr>
                <w:rFonts w:hint="eastAsia" w:ascii="仿宋" w:hAnsi="仿宋" w:eastAsia="仿宋"/>
                <w:color w:val="000000"/>
                <w:szCs w:val="21"/>
                <w:highlight w:val="none"/>
              </w:rPr>
              <w:t>9:41-9:50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3</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70-79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70-79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15-19</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16:01-16:20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16:31-16:50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8:26</w:t>
            </w:r>
            <w:r>
              <w:rPr>
                <w:rFonts w:hint="eastAsia" w:ascii="仿宋" w:hAnsi="仿宋" w:eastAsia="仿宋"/>
                <w:color w:val="000000"/>
                <w:szCs w:val="21"/>
                <w:highlight w:val="none"/>
              </w:rPr>
              <w:t>-8:35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9:5</w:t>
            </w:r>
            <w:r>
              <w:rPr>
                <w:rFonts w:hint="eastAsia" w:ascii="仿宋" w:hAnsi="仿宋" w:eastAsia="仿宋"/>
                <w:color w:val="000000"/>
                <w:szCs w:val="21"/>
                <w:highlight w:val="none"/>
              </w:rPr>
              <w:t>1-10:00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2</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60-69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60-69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10-14</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16:21-16:40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16:51-17:10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8:36</w:t>
            </w:r>
            <w:r>
              <w:rPr>
                <w:rFonts w:hint="eastAsia" w:ascii="仿宋" w:hAnsi="仿宋" w:eastAsia="仿宋"/>
                <w:color w:val="000000"/>
                <w:szCs w:val="21"/>
                <w:highlight w:val="none"/>
              </w:rPr>
              <w:t>-8:45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10:</w:t>
            </w:r>
            <w:r>
              <w:rPr>
                <w:rFonts w:hint="eastAsia" w:ascii="仿宋" w:hAnsi="仿宋" w:eastAsia="仿宋"/>
                <w:color w:val="000000"/>
                <w:szCs w:val="21"/>
                <w:highlight w:val="none"/>
              </w:rPr>
              <w:t>01-10:10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hint="eastAsia" w:ascii="仿宋" w:hAnsi="仿宋" w:eastAsia="仿宋" w:cs="宋体"/>
                <w:b/>
                <w:bCs/>
                <w:szCs w:val="21"/>
                <w:highlight w:val="none"/>
              </w:rPr>
              <w:t>1</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30-5</w:t>
            </w:r>
            <w:r>
              <w:rPr>
                <w:rFonts w:hint="eastAsia" w:ascii="仿宋" w:hAnsi="仿宋" w:eastAsia="仿宋" w:cs="宋体"/>
                <w:szCs w:val="21"/>
                <w:highlight w:val="none"/>
              </w:rPr>
              <w:t>9</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ascii="仿宋" w:hAnsi="仿宋" w:eastAsia="仿宋" w:cs="宋体"/>
                <w:szCs w:val="21"/>
                <w:highlight w:val="none"/>
              </w:rPr>
              <w:t>30-5</w:t>
            </w:r>
            <w:r>
              <w:rPr>
                <w:rFonts w:hint="eastAsia" w:ascii="仿宋" w:hAnsi="仿宋" w:eastAsia="仿宋" w:cs="宋体"/>
                <w:szCs w:val="21"/>
                <w:highlight w:val="none"/>
              </w:rPr>
              <w:t>9</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5-9</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16:41-17:00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17:11-17:30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w:t>
            </w:r>
            <w:r>
              <w:rPr>
                <w:rFonts w:hint="eastAsia" w:ascii="仿宋" w:hAnsi="仿宋" w:eastAsia="仿宋"/>
                <w:color w:val="000000"/>
                <w:szCs w:val="21"/>
                <w:highlight w:val="none"/>
              </w:rPr>
              <w:t>46-8:55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10:1</w:t>
            </w:r>
            <w:r>
              <w:rPr>
                <w:rFonts w:hint="eastAsia" w:ascii="仿宋" w:hAnsi="仿宋" w:eastAsia="仿宋"/>
                <w:color w:val="000000"/>
                <w:szCs w:val="21"/>
                <w:highlight w:val="none"/>
              </w:rPr>
              <w:t>1-10:20</w:t>
            </w:r>
          </w:p>
        </w:tc>
      </w:tr>
      <w:tr>
        <w:tblPrEx>
          <w:tblCellMar>
            <w:top w:w="0" w:type="dxa"/>
            <w:left w:w="30" w:type="dxa"/>
            <w:bottom w:w="0" w:type="dxa"/>
            <w:right w:w="30" w:type="dxa"/>
          </w:tblCellMar>
        </w:tblPrEx>
        <w:trPr>
          <w:trHeight w:val="425" w:hRule="atLeast"/>
          <w:jc w:val="center"/>
        </w:trPr>
        <w:tc>
          <w:tcPr>
            <w:tcW w:w="299"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b/>
                <w:bCs/>
                <w:szCs w:val="21"/>
                <w:highlight w:val="none"/>
              </w:rPr>
            </w:pPr>
            <w:r>
              <w:rPr>
                <w:rFonts w:ascii="仿宋" w:hAnsi="仿宋" w:eastAsia="仿宋" w:cs="宋体"/>
                <w:b/>
                <w:bCs/>
                <w:szCs w:val="21"/>
                <w:highlight w:val="none"/>
              </w:rPr>
              <w:t>0</w:t>
            </w:r>
          </w:p>
        </w:tc>
        <w:tc>
          <w:tcPr>
            <w:tcW w:w="563"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w:t>
            </w:r>
            <w:r>
              <w:rPr>
                <w:rFonts w:ascii="仿宋" w:hAnsi="仿宋" w:eastAsia="仿宋" w:cs="宋体"/>
                <w:szCs w:val="21"/>
                <w:highlight w:val="none"/>
              </w:rPr>
              <w:t>30</w:t>
            </w:r>
          </w:p>
        </w:tc>
        <w:tc>
          <w:tcPr>
            <w:tcW w:w="628"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仿宋" w:hAnsi="仿宋" w:eastAsia="仿宋" w:cs="宋体"/>
                <w:szCs w:val="21"/>
                <w:highlight w:val="none"/>
              </w:rPr>
            </w:pPr>
            <w:r>
              <w:rPr>
                <w:rFonts w:hint="eastAsia" w:ascii="仿宋" w:hAnsi="仿宋" w:eastAsia="仿宋" w:cs="宋体"/>
                <w:szCs w:val="21"/>
                <w:highlight w:val="none"/>
              </w:rPr>
              <w:t>＜</w:t>
            </w:r>
            <w:r>
              <w:rPr>
                <w:rFonts w:ascii="仿宋" w:hAnsi="仿宋" w:eastAsia="仿宋" w:cs="宋体"/>
                <w:szCs w:val="21"/>
                <w:highlight w:val="none"/>
              </w:rPr>
              <w:t>30</w:t>
            </w:r>
          </w:p>
        </w:tc>
        <w:tc>
          <w:tcPr>
            <w:tcW w:w="610"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＜5</w:t>
            </w:r>
          </w:p>
        </w:tc>
        <w:tc>
          <w:tcPr>
            <w:tcW w:w="756"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＞17:00</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＞17:30</w:t>
            </w:r>
          </w:p>
        </w:tc>
        <w:tc>
          <w:tcPr>
            <w:tcW w:w="625"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＞8:55</w:t>
            </w:r>
          </w:p>
        </w:tc>
        <w:tc>
          <w:tcPr>
            <w:tcW w:w="757" w:type="pct"/>
            <w:tcBorders>
              <w:top w:val="single" w:color="auto" w:sz="6" w:space="0"/>
              <w:left w:val="single" w:color="auto" w:sz="6" w:space="0"/>
              <w:bottom w:val="single" w:color="auto" w:sz="6" w:space="0"/>
              <w:right w:val="single" w:color="auto" w:sz="6" w:space="0"/>
            </w:tcBorders>
            <w:vAlign w:val="center"/>
          </w:tcPr>
          <w:p>
            <w:pPr>
              <w:snapToGrid w:val="0"/>
              <w:spacing w:line="360" w:lineRule="auto"/>
              <w:jc w:val="center"/>
              <w:rPr>
                <w:rFonts w:ascii="仿宋" w:hAnsi="仿宋" w:eastAsia="仿宋" w:cs="宋体"/>
                <w:szCs w:val="21"/>
                <w:highlight w:val="none"/>
              </w:rPr>
            </w:pPr>
            <w:r>
              <w:rPr>
                <w:rFonts w:hint="eastAsia" w:ascii="仿宋" w:hAnsi="仿宋" w:eastAsia="仿宋"/>
                <w:szCs w:val="21"/>
                <w:highlight w:val="none"/>
              </w:rPr>
              <w:t>＞</w:t>
            </w:r>
            <w:r>
              <w:rPr>
                <w:rFonts w:hint="eastAsia" w:ascii="仿宋" w:hAnsi="仿宋" w:eastAsia="仿宋"/>
                <w:color w:val="000000"/>
                <w:szCs w:val="21"/>
                <w:highlight w:val="none"/>
              </w:rPr>
              <w:t>10:20</w:t>
            </w:r>
          </w:p>
        </w:tc>
      </w:tr>
    </w:tbl>
    <w:p>
      <w:pPr>
        <w:spacing w:line="360" w:lineRule="auto"/>
        <w:ind w:right="225" w:rightChars="107" w:firstLine="323" w:firstLineChars="101"/>
        <w:jc w:val="center"/>
        <w:rPr>
          <w:rFonts w:ascii="仿宋" w:hAnsi="仿宋" w:eastAsia="仿宋" w:cs="仿宋_GB2312"/>
          <w:sz w:val="32"/>
          <w:szCs w:val="32"/>
          <w:highlight w:val="none"/>
        </w:rPr>
      </w:pPr>
    </w:p>
    <w:p>
      <w:pPr>
        <w:spacing w:line="580" w:lineRule="exact"/>
        <w:rPr>
          <w:rFonts w:ascii="仿宋" w:hAnsi="仿宋" w:eastAsia="仿宋"/>
          <w:sz w:val="32"/>
          <w:szCs w:val="32"/>
          <w:highlight w:val="none"/>
        </w:rPr>
        <w:sectPr>
          <w:pgSz w:w="11906" w:h="16838"/>
          <w:pgMar w:top="1701" w:right="1588" w:bottom="1985" w:left="1588" w:header="851" w:footer="1588" w:gutter="0"/>
          <w:cols w:space="425" w:num="1"/>
          <w:docGrid w:type="lines" w:linePitch="312" w:charSpace="0"/>
        </w:sectPr>
      </w:pPr>
    </w:p>
    <w:p>
      <w:pPr>
        <w:spacing w:line="580" w:lineRule="exact"/>
        <w:ind w:firstLine="640" w:firstLineChars="200"/>
        <w:rPr>
          <w:rFonts w:ascii="仿宋" w:hAnsi="仿宋" w:eastAsia="仿宋"/>
          <w:sz w:val="32"/>
          <w:szCs w:val="32"/>
          <w:highlight w:val="none"/>
        </w:rPr>
      </w:pPr>
    </w:p>
    <w:p>
      <w:pPr>
        <w:widowControl/>
        <w:jc w:val="left"/>
        <w:rPr>
          <w:rFonts w:ascii="仿宋" w:hAnsi="仿宋" w:eastAsia="仿宋"/>
          <w:sz w:val="32"/>
          <w:szCs w:val="32"/>
          <w:highlight w:val="none"/>
        </w:rPr>
      </w:pPr>
    </w:p>
    <w:sectPr>
      <w:pgSz w:w="11906" w:h="16838"/>
      <w:pgMar w:top="1701" w:right="1588" w:bottom="1985" w:left="1588" w:header="851" w:footer="158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2" w:firstLineChars="101"/>
      <w:rPr>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7rpKxYCAAAZBAAADgAAAAAAAAABACAAAAA1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3EA"/>
    <w:rsid w:val="00056AC7"/>
    <w:rsid w:val="00075BC6"/>
    <w:rsid w:val="000B39DD"/>
    <w:rsid w:val="000B7619"/>
    <w:rsid w:val="000E35B6"/>
    <w:rsid w:val="0010080F"/>
    <w:rsid w:val="0013140B"/>
    <w:rsid w:val="00167B84"/>
    <w:rsid w:val="001F0734"/>
    <w:rsid w:val="002204A8"/>
    <w:rsid w:val="00281BB4"/>
    <w:rsid w:val="002C0AFF"/>
    <w:rsid w:val="003022FF"/>
    <w:rsid w:val="003326FB"/>
    <w:rsid w:val="003A0751"/>
    <w:rsid w:val="003D1DA3"/>
    <w:rsid w:val="003F335F"/>
    <w:rsid w:val="0042208F"/>
    <w:rsid w:val="004240A2"/>
    <w:rsid w:val="00425550"/>
    <w:rsid w:val="004D0809"/>
    <w:rsid w:val="004E0F63"/>
    <w:rsid w:val="00520860"/>
    <w:rsid w:val="00527BCF"/>
    <w:rsid w:val="00546122"/>
    <w:rsid w:val="00582418"/>
    <w:rsid w:val="005A5CF9"/>
    <w:rsid w:val="005C265B"/>
    <w:rsid w:val="005D45BA"/>
    <w:rsid w:val="005D5C70"/>
    <w:rsid w:val="006010C6"/>
    <w:rsid w:val="006A2C1A"/>
    <w:rsid w:val="006B4F8A"/>
    <w:rsid w:val="006C1298"/>
    <w:rsid w:val="006F759E"/>
    <w:rsid w:val="00730B35"/>
    <w:rsid w:val="0074114C"/>
    <w:rsid w:val="00755563"/>
    <w:rsid w:val="00832D57"/>
    <w:rsid w:val="00850424"/>
    <w:rsid w:val="008A7450"/>
    <w:rsid w:val="008C00AE"/>
    <w:rsid w:val="008D79AB"/>
    <w:rsid w:val="008E0139"/>
    <w:rsid w:val="00903C94"/>
    <w:rsid w:val="00930689"/>
    <w:rsid w:val="009706C9"/>
    <w:rsid w:val="00986F4D"/>
    <w:rsid w:val="009A5B40"/>
    <w:rsid w:val="009C7176"/>
    <w:rsid w:val="009F26B4"/>
    <w:rsid w:val="00A5439C"/>
    <w:rsid w:val="00A75172"/>
    <w:rsid w:val="00AB1DAF"/>
    <w:rsid w:val="00B04069"/>
    <w:rsid w:val="00B207D1"/>
    <w:rsid w:val="00C107B1"/>
    <w:rsid w:val="00C31C42"/>
    <w:rsid w:val="00C36364"/>
    <w:rsid w:val="00C44CAB"/>
    <w:rsid w:val="00C82095"/>
    <w:rsid w:val="00D03C31"/>
    <w:rsid w:val="00D74178"/>
    <w:rsid w:val="00DD7B57"/>
    <w:rsid w:val="00DF3FAA"/>
    <w:rsid w:val="00E154BB"/>
    <w:rsid w:val="00E7198D"/>
    <w:rsid w:val="00E743A4"/>
    <w:rsid w:val="00EC13EA"/>
    <w:rsid w:val="00EC28E7"/>
    <w:rsid w:val="00EE4DB9"/>
    <w:rsid w:val="00F25568"/>
    <w:rsid w:val="00FA1D88"/>
    <w:rsid w:val="00FE1E17"/>
    <w:rsid w:val="5F5E7D46"/>
    <w:rsid w:val="5F777766"/>
    <w:rsid w:val="7C772761"/>
    <w:rsid w:val="FEB7BB6D"/>
    <w:rsid w:val="FFA5E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页脚 字符"/>
    <w:basedOn w:val="7"/>
    <w:link w:val="3"/>
    <w:qFormat/>
    <w:uiPriority w:val="99"/>
    <w:rPr>
      <w:rFonts w:ascii="Times New Roman" w:hAnsi="Times New Roman" w:eastAsia="宋体" w:cs="Times New Roman"/>
      <w:sz w:val="18"/>
      <w:szCs w:val="18"/>
    </w:rPr>
  </w:style>
  <w:style w:type="character" w:customStyle="1" w:styleId="10">
    <w:name w:val="页眉 字符"/>
    <w:basedOn w:val="7"/>
    <w:link w:val="4"/>
    <w:qFormat/>
    <w:uiPriority w:val="99"/>
    <w:rPr>
      <w:rFonts w:ascii="Times New Roman" w:hAnsi="Times New Roman" w:eastAsia="宋体" w:cs="Times New Roman"/>
      <w:sz w:val="18"/>
      <w:szCs w:val="18"/>
    </w:rPr>
  </w:style>
  <w:style w:type="character" w:customStyle="1" w:styleId="11">
    <w:name w:val="批注框文本 字符"/>
    <w:basedOn w:val="7"/>
    <w:link w:val="2"/>
    <w:semiHidden/>
    <w:qFormat/>
    <w:uiPriority w:val="99"/>
    <w:rPr>
      <w:rFonts w:ascii="Times New Roman" w:hAnsi="Times New Roman" w:eastAsia="宋体" w:cs="Times New Roman"/>
      <w:sz w:val="18"/>
      <w:szCs w:val="18"/>
    </w:rPr>
  </w:style>
  <w:style w:type="paragraph" w:customStyle="1" w:styleId="12">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801</Words>
  <Characters>4569</Characters>
  <Lines>38</Lines>
  <Paragraphs>10</Paragraphs>
  <TotalTime>64</TotalTime>
  <ScaleCrop>false</ScaleCrop>
  <LinksUpToDate>false</LinksUpToDate>
  <CharactersWithSpaces>5360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2024-04-20T00:46:00Z</dcterms:created>
  <dc:creator>射击部高</dc:creator>
  <cp:lastModifiedBy>zhangkai</cp:lastModifiedBy>
  <cp:lastPrinted>2024-04-13T01:35:00Z</cp:lastPrinted>
  <dcterms:modified xsi:type="dcterms:W3CDTF">2024-04-22T14:45:17Z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